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PSM03</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PSM03</w:t>
            </w:r>
          </w:p>
        </w:tc>
      </w:tr>
      <w:tr>
        <w:tc>
          <w:tcPr>
            <w:tcW w:type="dxa" w:w="5100"/>
          </w:tcPr>
          <w:p>
            <w:r>
              <w:rPr>
                <w:rFonts w:ascii="Segoe UI" w:hAnsi="Segoe UI"/>
                <w:b/>
                <w:sz w:val="19"/>
              </w:rPr>
              <w:t>Suprafață recomandată</w:t>
            </w:r>
          </w:p>
        </w:tc>
        <w:tc>
          <w:tcPr>
            <w:tcW w:type="dxa" w:w="5100"/>
          </w:tcPr>
          <w:p>
            <w:r>
              <w:rPr>
                <w:rFonts w:ascii="Segoe UI" w:hAnsi="Segoe UI"/>
                <w:sz w:val="19"/>
              </w:rPr>
              <w:t>22,95 × 14,75 m</w:t>
            </w:r>
          </w:p>
        </w:tc>
      </w:tr>
      <w:tr>
        <w:tc>
          <w:tcPr>
            <w:tcW w:type="dxa" w:w="5100"/>
          </w:tcPr>
          <w:p>
            <w:r>
              <w:rPr>
                <w:rFonts w:ascii="Segoe UI" w:hAnsi="Segoe UI"/>
                <w:b/>
                <w:sz w:val="19"/>
              </w:rPr>
              <w:t>Echipamente</w:t>
            </w:r>
          </w:p>
        </w:tc>
        <w:tc>
          <w:tcPr>
            <w:tcW w:type="dxa" w:w="5100"/>
          </w:tcPr>
          <w:p>
            <w:r>
              <w:rPr>
                <w:rFonts w:ascii="Segoe UI" w:hAnsi="Segoe UI"/>
                <w:sz w:val="19"/>
              </w:rPr>
              <w:t>7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Bank Ramp</w:t>
      </w:r>
    </w:p>
    <w:p>
      <w:pPr>
        <w:jc w:val="center"/>
      </w:pPr>
      <w:r>
        <w:drawing>
          <wp:inline xmlns:a="http://schemas.openxmlformats.org/drawingml/2006/main" xmlns:pic="http://schemas.openxmlformats.org/drawingml/2006/picture">
            <wp:extent cx="4206240" cy="3028662"/>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02866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306x244x90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w:t>
        <w:br/>
        <w:t>Este totodată un element pe care se execută diverse figuri. Acest echipament poate fi combinat formând un perete, completat suplimentar</w:t>
        <w:br/>
        <w:t>cu rail-uri, grindbox-uri și scări, datorită cărui fapt skateparkul devine un loc mult mai interesant. Bank Ramp poate constitui și</w:t>
        <w:br/>
        <w:t>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Funbox cu rail</w:t>
      </w:r>
    </w:p>
    <w:p>
      <w:pPr>
        <w:jc w:val="center"/>
      </w:pPr>
      <w:r>
        <w:drawing>
          <wp:inline xmlns:a="http://schemas.openxmlformats.org/drawingml/2006/main" xmlns:pic="http://schemas.openxmlformats.org/drawingml/2006/picture">
            <wp:extent cx="4206240" cy="2484082"/>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48408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420x244x45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un element suplimentar sub forma unui rail care ocupă toată lungimea</w:t>
        <w:br/>
        <w:t>obstacolului. Poate fi extins în orice mod, ceea ce oferă posibilități mai mari de a învăța figuri noi. Skateboarderii preferă</w:t>
        <w:br/>
        <w:t>un funbox cu cât mai multe combinații, în timp ce practicanții de BMX, rolerii și cei pe trotinetă preferă elementele mai înalte, care permit</w:t>
        <w:br/>
        <w:t>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Quarter Pipe</w:t>
      </w:r>
    </w:p>
    <w:p>
      <w:pPr>
        <w:jc w:val="center"/>
      </w:pPr>
      <w:r>
        <w:drawing>
          <wp:inline xmlns:a="http://schemas.openxmlformats.org/drawingml/2006/main" xmlns:pic="http://schemas.openxmlformats.org/drawingml/2006/picture">
            <wp:extent cx="4206240" cy="3024949"/>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302494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250x244x90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Grindbox 1 + Grindbox 2</w:t>
      </w:r>
    </w:p>
    <w:p>
      <w:pPr>
        <w:jc w:val="center"/>
      </w:pPr>
      <w:r>
        <w:drawing>
          <wp:inline xmlns:a="http://schemas.openxmlformats.org/drawingml/2006/main" xmlns:pic="http://schemas.openxmlformats.org/drawingml/2006/picture">
            <wp:extent cx="4206240" cy="2305007"/>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305007"/>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460x201x20/45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Grindbox – element folosit pentru distracție și pentru învățarea de figuri noi. Un grindbox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Rail drept</w:t>
      </w:r>
    </w:p>
    <w:p>
      <w:pPr>
        <w:jc w:val="center"/>
      </w:pPr>
      <w:r>
        <w:drawing>
          <wp:inline xmlns:a="http://schemas.openxmlformats.org/drawingml/2006/main" xmlns:pic="http://schemas.openxmlformats.org/drawingml/2006/picture">
            <wp:extent cx="4206240" cy="2154416"/>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154416"/>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400x5x40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w:t>
        <w:br/>
        <w:t>acreditat de Centrul Polonez de Acreditare. Certificatul furnizat de Executant trebuie să confirme controlul</w:t>
        <w:br/>
        <w:t>de siguranță al produsului și să includă monitorizarea producției de către un organism de testare independent și autorizat. Nu</w:t>
        <w:br/>
        <w:t>se admite prezentarea de avize tehnice emise de asociații sau experți, întrucât acestea nu sunt organisme</w:t>
        <w:br/>
        <w:t>abilitate să elibereze certificate care atestă conformitatea produsului cu norma. Nu se admite utilizarea</w:t>
        <w:br/>
        <w:t>HPL-ului negru, deoarece în perioadele de vară se încălzește la temperaturi ridicate. Achizitorul solicită furnizarea certificatelor împreună cu</w:t>
      </w:r>
    </w:p>
    <w:p>
      <w:r>
        <w:br w:type="page"/>
      </w:r>
    </w:p>
    <w:p>
      <w:pPr>
        <w:spacing w:after="100" w:before="80"/>
      </w:pPr>
      <w:r>
        <w:rPr>
          <w:rFonts w:ascii="Segoe UI" w:hAnsi="Segoe UI"/>
          <w:b/>
          <w:color w:val="33312D"/>
          <w:sz w:val="26"/>
        </w:rPr>
        <w:t>Echipament nr. 6 - Ledge 2</w:t>
      </w:r>
    </w:p>
    <w:p>
      <w:pPr>
        <w:jc w:val="center"/>
      </w:pPr>
      <w:r>
        <w:drawing>
          <wp:inline xmlns:a="http://schemas.openxmlformats.org/drawingml/2006/main" xmlns:pic="http://schemas.openxmlformats.org/drawingml/2006/picture">
            <wp:extent cx="4206240" cy="2461685"/>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206240" cy="246168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286x60x35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7 - Pole Jam</w:t>
      </w:r>
    </w:p>
    <w:p>
      <w:pPr>
        <w:jc w:val="center"/>
      </w:pPr>
      <w:r>
        <w:drawing>
          <wp:inline xmlns:a="http://schemas.openxmlformats.org/drawingml/2006/main" xmlns:pic="http://schemas.openxmlformats.org/drawingml/2006/picture">
            <wp:extent cx="4206240" cy="4777704"/>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206240" cy="4777704"/>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60x10x50</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Pole jam – element folosit pentru distracție și pentru învățarea de figuri noi. Un pole jam ar trebui să existe în orice skatepark, atât mic, cât și</w:t>
        <w:br/>
        <w:t>mare. Este un element independent, care completează platforma skateparkului sau diversifică elemente precum funbox-uri, box-uri</w:t>
        <w:br/>
        <w:t>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9" name="Picture 9"/>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2" name="Picture 12"/>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3" name="Picture 13"/>
            <wp:cNvGraphicFramePr>
              <a:graphicFrameLocks noChangeAspect="1"/>
            </wp:cNvGraphicFramePr>
            <a:graphic>
              <a:graphicData uri="http://schemas.openxmlformats.org/drawingml/2006/picture">
                <pic:pic>
                  <pic:nvPicPr>
                    <pic:cNvPr id="0" name="image.jpg"/>
                    <pic:cNvPicPr/>
                  </pic:nvPicPr>
                  <pic:blipFill>
                    <a:blip r:embed="rId23"/>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7" name="Picture 17"/>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8" name="Picture 18"/>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9" name="Picture 19"/>
            <wp:cNvGraphicFramePr>
              <a:graphicFrameLocks noChangeAspect="1"/>
            </wp:cNvGraphicFramePr>
            <a:graphic>
              <a:graphicData uri="http://schemas.openxmlformats.org/drawingml/2006/picture">
                <pic:pic>
                  <pic:nvPicPr>
                    <pic:cNvPr id="0" name="image.jpg"/>
                    <pic:cNvPicPr/>
                  </pic:nvPicPr>
                  <pic:blipFill>
                    <a:blip r:embed="rId29"/>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pn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