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PSM13</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PSM13</w:t>
            </w:r>
          </w:p>
        </w:tc>
      </w:tr>
      <w:tr>
        <w:tc>
          <w:tcPr>
            <w:tcW w:type="dxa" w:w="5100"/>
          </w:tcPr>
          <w:p>
            <w:r>
              <w:rPr>
                <w:rFonts w:ascii="Segoe UI" w:hAnsi="Segoe UI"/>
                <w:b/>
                <w:sz w:val="19"/>
              </w:rPr>
              <w:t>Suprafață recomandată</w:t>
            </w:r>
          </w:p>
        </w:tc>
        <w:tc>
          <w:tcPr>
            <w:tcW w:type="dxa" w:w="5100"/>
          </w:tcPr>
          <w:p>
            <w:r>
              <w:rPr>
                <w:rFonts w:ascii="Segoe UI" w:hAnsi="Segoe UI"/>
                <w:sz w:val="19"/>
              </w:rPr>
              <w:t>39,5 × 24,15 m</w:t>
            </w:r>
          </w:p>
        </w:tc>
      </w:tr>
      <w:tr>
        <w:tc>
          <w:tcPr>
            <w:tcW w:type="dxa" w:w="5100"/>
          </w:tcPr>
          <w:p>
            <w:r>
              <w:rPr>
                <w:rFonts w:ascii="Segoe UI" w:hAnsi="Segoe UI"/>
                <w:b/>
                <w:sz w:val="19"/>
              </w:rPr>
              <w:t>Echipamente</w:t>
            </w:r>
          </w:p>
        </w:tc>
        <w:tc>
          <w:tcPr>
            <w:tcW w:type="dxa" w:w="5100"/>
          </w:tcPr>
          <w:p>
            <w:r>
              <w:rPr>
                <w:rFonts w:ascii="Segoe UI" w:hAnsi="Segoe UI"/>
                <w:sz w:val="19"/>
              </w:rPr>
              <w:t>8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1 - 2x Quarter Pipe 90 gr.</w:t>
      </w:r>
    </w:p>
    <w:p>
      <w:pPr>
        <w:jc w:val="center"/>
      </w:pPr>
      <w:r>
        <w:drawing>
          <wp:inline xmlns:a="http://schemas.openxmlformats.org/drawingml/2006/main" xmlns:pic="http://schemas.openxmlformats.org/drawingml/2006/picture">
            <wp:extent cx="4206240" cy="2915782"/>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291578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731x975x190/225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Jumpbox + Spin</w:t>
      </w:r>
    </w:p>
    <w:p>
      <w:pPr>
        <w:jc w:val="center"/>
      </w:pPr>
      <w:r>
        <w:drawing>
          <wp:inline xmlns:a="http://schemas.openxmlformats.org/drawingml/2006/main" xmlns:pic="http://schemas.openxmlformats.org/drawingml/2006/picture">
            <wp:extent cx="4206240" cy="2415632"/>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41563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902x854x170/190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Jumpbox + Spin – servește la executarea de figuri în aer; acest element este preferat de bicicliști, roleri și de persoanele</w:t>
        <w:br/>
        <w:t>care merg pe trotinetă, care preferă obstacolele mai înalte, ce permit executarea de sărituri și salturi.</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Wall + Quarter Pipe + Scări</w:t>
      </w:r>
    </w:p>
    <w:p>
      <w:pPr>
        <w:jc w:val="center"/>
      </w:pPr>
      <w:r>
        <w:drawing>
          <wp:inline xmlns:a="http://schemas.openxmlformats.org/drawingml/2006/main" xmlns:pic="http://schemas.openxmlformats.org/drawingml/2006/picture">
            <wp:extent cx="4206240" cy="3480858"/>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348085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507x854x220/360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Wall + Quarter Pipe – element de skatepark folosit pentru luarea avântului către obstacolele centrale ale skateparkului (funbox-uri, grindbox-uri,</w:t>
        <w:br/>
        <w:t>rail-uri). Este totodată un element pe care se execută diverse figuri. Acest echipament poate fi combinat formând un perete, completat suplimentar</w:t>
        <w:br/>
        <w:t>cu rail-uri, grindbox-uri și scări, datorită cărui fapt skateparkul devine un loc mult mai interesant. Wall + Quarter Pipe poate</w:t>
        <w:br/>
        <w:t>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Quarter Pipe</w:t>
      </w:r>
    </w:p>
    <w:p>
      <w:pPr>
        <w:jc w:val="center"/>
      </w:pPr>
      <w:r>
        <w:drawing>
          <wp:inline xmlns:a="http://schemas.openxmlformats.org/drawingml/2006/main" xmlns:pic="http://schemas.openxmlformats.org/drawingml/2006/picture">
            <wp:extent cx="4206240" cy="3778755"/>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377875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393x488x190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Piramidă cu grindbox</w:t>
      </w:r>
    </w:p>
    <w:p>
      <w:pPr>
        <w:jc w:val="center"/>
      </w:pPr>
      <w:r>
        <w:drawing>
          <wp:inline xmlns:a="http://schemas.openxmlformats.org/drawingml/2006/main" xmlns:pic="http://schemas.openxmlformats.org/drawingml/2006/picture">
            <wp:extent cx="4206240" cy="2713214"/>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71321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260x546x65/105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Piramidă cu grindbox – element folosit pentru distracție și pentru învățarea de figuri noi. Este un element independent, care completează platforma</w:t>
        <w:br/>
        <w:t>skateparkului sau diversifică elemente precum funbox-uri, box-uri sau platforme. Echipamentul este destinat practicării pe skateboard, BMX,</w:t>
        <w:br/>
        <w:t>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6 - Ledge 2</w:t>
      </w:r>
    </w:p>
    <w:p>
      <w:pPr>
        <w:jc w:val="center"/>
      </w:pPr>
      <w:r>
        <w:drawing>
          <wp:inline xmlns:a="http://schemas.openxmlformats.org/drawingml/2006/main" xmlns:pic="http://schemas.openxmlformats.org/drawingml/2006/picture">
            <wp:extent cx="4206240" cy="2488050"/>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48805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286x60x35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7 - Rail drept</w:t>
      </w:r>
    </w:p>
    <w:p>
      <w:pPr>
        <w:jc w:val="center"/>
      </w:pPr>
      <w:r>
        <w:drawing>
          <wp:inline xmlns:a="http://schemas.openxmlformats.org/drawingml/2006/main" xmlns:pic="http://schemas.openxmlformats.org/drawingml/2006/picture">
            <wp:extent cx="4206240" cy="1892384"/>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206240" cy="189238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8 - Rail înclinat</w:t>
      </w:r>
    </w:p>
    <w:p>
      <w:pPr>
        <w:jc w:val="center"/>
      </w:pPr>
      <w:r>
        <w:drawing>
          <wp:inline xmlns:a="http://schemas.openxmlformats.org/drawingml/2006/main" xmlns:pic="http://schemas.openxmlformats.org/drawingml/2006/picture">
            <wp:extent cx="4206240" cy="1915798"/>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206240" cy="191579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600x5x30/65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înclinat – element folosit pentru distracție și pentru învățarea de figuri noi. Rail-urile ar trebui să existe în orice skatepark, atât mic,</w:t>
        <w:br/>
        <w:t>cât și mare. Este un element independent, care completează platforma skateparkului sau diversifică elemente precum funbox-uri,</w:t>
        <w:br/>
        <w:t>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10" name="Picture 10"/>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3" name="Picture 13"/>
            <wp:cNvGraphicFramePr>
              <a:graphicFrameLocks noChangeAspect="1"/>
            </wp:cNvGraphicFramePr>
            <a:graphic>
              <a:graphicData uri="http://schemas.openxmlformats.org/drawingml/2006/picture">
                <pic:pic>
                  <pic:nvPicPr>
                    <pic:cNvPr id="0" name="image.jpg"/>
                    <pic:cNvPicPr/>
                  </pic:nvPicPr>
                  <pic:blipFill>
                    <a:blip r:embed="rId23"/>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4" name="Picture 14"/>
            <wp:cNvGraphicFramePr>
              <a:graphicFrameLocks noChangeAspect="1"/>
            </wp:cNvGraphicFramePr>
            <a:graphic>
              <a:graphicData uri="http://schemas.openxmlformats.org/drawingml/2006/picture">
                <pic:pic>
                  <pic:nvPicPr>
                    <pic:cNvPr id="0" name="image.jpg"/>
                    <pic:cNvPicPr/>
                  </pic:nvPicPr>
                  <pic:blipFill>
                    <a:blip r:embed="rId24"/>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8" name="Picture 18"/>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9" name="Picture 19"/>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20" name="Picture 20"/>
            <wp:cNvGraphicFramePr>
              <a:graphicFrameLocks noChangeAspect="1"/>
            </wp:cNvGraphicFramePr>
            <a:graphic>
              <a:graphicData uri="http://schemas.openxmlformats.org/drawingml/2006/picture">
                <pic:pic>
                  <pic:nvPicPr>
                    <pic:cNvPr id="0" name="image.jpg"/>
                    <pic:cNvPicPr/>
                  </pic:nvPicPr>
                  <pic:blipFill>
                    <a:blip r:embed="rId30"/>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pn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